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F560FD" w:rsidRDefault="00552BB9">
      <w:bookmarkStart w:id="0" w:name="_GoBack"/>
      <w:bookmarkEnd w:id="0"/>
      <w:r w:rsidRPr="00F560FD">
        <w:t>ALLEGATO 2</w:t>
      </w:r>
    </w:p>
    <w:p w:rsidR="0041209A" w:rsidRDefault="0041209A" w:rsidP="0041209A">
      <w:pPr>
        <w:pBdr>
          <w:bottom w:val="single" w:sz="4" w:space="1" w:color="auto"/>
        </w:pBdr>
        <w:rPr>
          <w:b/>
        </w:rPr>
      </w:pPr>
    </w:p>
    <w:p w:rsidR="00552BB9" w:rsidRPr="0041209A" w:rsidRDefault="00552BB9" w:rsidP="0041209A">
      <w:pPr>
        <w:pBdr>
          <w:bottom w:val="single" w:sz="4" w:space="1" w:color="auto"/>
        </w:pBdr>
        <w:rPr>
          <w:b/>
        </w:rPr>
      </w:pPr>
      <w:r w:rsidRPr="0041209A">
        <w:rPr>
          <w:b/>
        </w:rPr>
        <w:t>ELENCO DOCUMENTI</w:t>
      </w:r>
    </w:p>
    <w:p w:rsidR="00552BB9" w:rsidRPr="00F560FD" w:rsidRDefault="00552BB9"/>
    <w:p w:rsidR="00F560FD" w:rsidRPr="00F560FD" w:rsidRDefault="00F560FD" w:rsidP="00F560FD">
      <w:pPr>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La domanda deve essere presentata alla banca presso la quale è in corso il pagamento delle rate del mutuo, completa di tutta la seguente documentazione:</w:t>
      </w:r>
    </w:p>
    <w:p w:rsidR="00F560FD" w:rsidRPr="00F560FD" w:rsidRDefault="00F560FD" w:rsidP="00F560FD">
      <w:pPr>
        <w:numPr>
          <w:ilvl w:val="0"/>
          <w:numId w:val="1"/>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Pr>
          <w:rFonts w:ascii="Century Gothic" w:eastAsiaTheme="minorEastAsia" w:hAnsi="Century Gothic" w:cs="Arial"/>
          <w:bCs/>
          <w:lang w:eastAsia="it-IT"/>
        </w:rPr>
        <w:t>c</w:t>
      </w:r>
      <w:r w:rsidRPr="00F560FD">
        <w:rPr>
          <w:rFonts w:ascii="Century Gothic" w:eastAsiaTheme="minorEastAsia" w:hAnsi="Century Gothic" w:cs="Arial"/>
          <w:bCs/>
          <w:lang w:eastAsia="it-IT"/>
        </w:rPr>
        <w:t>arta d’identità (per i soli cittadini italiani e dell’unione europea) o passaporto e permesso di soggiorno (per cittadini extra UE)</w:t>
      </w:r>
    </w:p>
    <w:p w:rsidR="00F560FD" w:rsidRPr="00F560FD" w:rsidRDefault="00F560FD" w:rsidP="00F560FD">
      <w:pPr>
        <w:spacing w:after="0" w:line="360" w:lineRule="auto"/>
        <w:ind w:left="720"/>
        <w:jc w:val="both"/>
        <w:rPr>
          <w:rFonts w:ascii="Century Gothic" w:eastAsiaTheme="minorEastAsia" w:hAnsi="Century Gothic" w:cs="Arial"/>
          <w:bCs/>
          <w:lang w:eastAsia="it-IT"/>
        </w:rPr>
      </w:pPr>
    </w:p>
    <w:p w:rsidR="00F560FD" w:rsidRPr="00F560FD" w:rsidRDefault="00F560FD" w:rsidP="00F560FD">
      <w:pPr>
        <w:spacing w:after="0" w:line="360" w:lineRule="auto"/>
        <w:jc w:val="both"/>
        <w:rPr>
          <w:rFonts w:ascii="Century Gothic" w:eastAsiaTheme="minorEastAsia" w:hAnsi="Century Gothic" w:cs="Arial"/>
          <w:bCs/>
          <w:lang w:eastAsia="it-IT"/>
        </w:rPr>
      </w:pPr>
      <w:r>
        <w:rPr>
          <w:rFonts w:ascii="Century Gothic" w:eastAsiaTheme="minorEastAsia" w:hAnsi="Century Gothic" w:cs="Arial"/>
          <w:bCs/>
          <w:lang w:eastAsia="it-IT"/>
        </w:rPr>
        <w:t>Inoltre il richiedente deve</w:t>
      </w:r>
      <w:r w:rsidRPr="00F560FD">
        <w:rPr>
          <w:rFonts w:ascii="Century Gothic" w:eastAsiaTheme="minorEastAsia" w:hAnsi="Century Gothic" w:cs="Arial"/>
          <w:bCs/>
          <w:lang w:eastAsia="it-IT"/>
        </w:rPr>
        <w:t xml:space="preserve"> presentare la </w:t>
      </w:r>
      <w:r>
        <w:rPr>
          <w:rFonts w:ascii="Century Gothic" w:eastAsiaTheme="minorEastAsia" w:hAnsi="Century Gothic" w:cs="Arial"/>
          <w:bCs/>
          <w:lang w:eastAsia="it-IT"/>
        </w:rPr>
        <w:t>seguente documentazione</w:t>
      </w:r>
      <w:r w:rsidRPr="00F560FD">
        <w:rPr>
          <w:rFonts w:ascii="Century Gothic" w:eastAsiaTheme="minorEastAsia" w:hAnsi="Century Gothic" w:cs="Arial"/>
          <w:bCs/>
          <w:lang w:eastAsia="it-IT"/>
        </w:rPr>
        <w:t xml:space="preserve"> (</w:t>
      </w:r>
      <w:r w:rsidRPr="00F560FD">
        <w:rPr>
          <w:rFonts w:ascii="Century Gothic" w:eastAsiaTheme="minorEastAsia" w:hAnsi="Century Gothic" w:cs="Arial"/>
          <w:bCs/>
          <w:i/>
          <w:iCs/>
          <w:lang w:eastAsia="it-IT"/>
        </w:rPr>
        <w:t>per gli eventi morte del mutuatario e riduzione del fatturato per lavoratori autonomi e liberi professionisti è sufficiente il solo modello di domanda)</w:t>
      </w:r>
      <w:r w:rsidRPr="00F560FD">
        <w:rPr>
          <w:rFonts w:ascii="Century Gothic" w:eastAsiaTheme="minorEastAsia" w:hAnsi="Century Gothic" w:cs="Arial"/>
          <w:bCs/>
          <w:lang w:eastAsia="it-IT"/>
        </w:rPr>
        <w:t>:</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t>In caso di cessazione del rapporto di lavoro subordinato, con attualità dello stato di disoccupazione</w:t>
      </w:r>
      <w:r w:rsidRPr="00F560FD">
        <w:rPr>
          <w:rFonts w:ascii="Century Gothic" w:eastAsiaTheme="minorEastAsia" w:hAnsi="Century Gothic" w:cs="Arial"/>
          <w:bCs/>
          <w:lang w:eastAsia="it-IT"/>
        </w:rPr>
        <w:t xml:space="preserve"> </w:t>
      </w:r>
    </w:p>
    <w:p w:rsidR="00F560FD" w:rsidRPr="00F560FD" w:rsidRDefault="00F560FD" w:rsidP="00F560FD">
      <w:pPr>
        <w:numPr>
          <w:ilvl w:val="1"/>
          <w:numId w:val="2"/>
        </w:numPr>
        <w:shd w:val="clear" w:color="auto" w:fill="FFFFFF"/>
        <w:tabs>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In caso di contratto di lavoro (rapporto) a tempo indeterminato, lettera di licenziamento ovvero documentazione attestante le dimissioni da lavoro per giusta causa (si veda punto 3)</w:t>
      </w:r>
    </w:p>
    <w:p w:rsidR="00F560FD" w:rsidRPr="00F560FD" w:rsidRDefault="00F560FD" w:rsidP="00F560FD">
      <w:pPr>
        <w:numPr>
          <w:ilvl w:val="1"/>
          <w:numId w:val="2"/>
        </w:numPr>
        <w:shd w:val="clear" w:color="auto" w:fill="FFFFFF"/>
        <w:tabs>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In caso di contratto di lavoro (rapporto) a tempo determinato, copia dello stesso contratto, della sua eventuale proroga, nonché delle eventuali comunicazioni con le quali s’interrompe il rapporto (nel caso di dimissioni per giusta causa si veda il punto 3)</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t>In caso di cessazione del rapporto di lavoro di cui all'art. 409 numero 3 del c.p.c., con attualità dello stato di disoccupazione:</w:t>
      </w:r>
      <w:r w:rsidRPr="00F560FD">
        <w:rPr>
          <w:rFonts w:ascii="Century Gothic" w:eastAsiaTheme="minorEastAsia" w:hAnsi="Century Gothic" w:cs="Arial"/>
          <w:bCs/>
          <w:lang w:eastAsia="it-IT"/>
        </w:rPr>
        <w:t xml:space="preserve"> </w:t>
      </w:r>
    </w:p>
    <w:p w:rsidR="00F560FD" w:rsidRPr="00F560FD" w:rsidRDefault="00F560FD" w:rsidP="00F560FD">
      <w:pPr>
        <w:numPr>
          <w:ilvl w:val="1"/>
          <w:numId w:val="2"/>
        </w:numPr>
        <w:shd w:val="clear" w:color="auto" w:fill="FFFFFF"/>
        <w:tabs>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 contratto nonché delle eventuali comunicazioni con le quali s’interrompe il rapporto (in caso di recesso per giusta causa si veda il punto 3)</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t>In tutti i casi di dimissioni per giusta causa:</w:t>
      </w:r>
      <w:r w:rsidRPr="00F560FD">
        <w:rPr>
          <w:rFonts w:ascii="Century Gothic" w:eastAsiaTheme="minorEastAsia" w:hAnsi="Century Gothic" w:cs="Arial"/>
          <w:bCs/>
          <w:lang w:eastAsia="it-IT"/>
        </w:rPr>
        <w:t xml:space="preserve"> </w:t>
      </w:r>
    </w:p>
    <w:p w:rsidR="00F560FD" w:rsidRPr="00F560FD" w:rsidRDefault="00F560FD" w:rsidP="00F560FD">
      <w:pPr>
        <w:numPr>
          <w:ilvl w:val="1"/>
          <w:numId w:val="2"/>
        </w:numPr>
        <w:shd w:val="clear" w:color="auto" w:fill="FFFFFF"/>
        <w:tabs>
          <w:tab w:val="left" w:pos="567"/>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la copia della sentenza giudiziale o dell’atto transattivo bilaterale, da cui si evinca l'accertamento della sussistenza della giusta causa che ha comportato le dimissioni del lavoratore;</w:t>
      </w:r>
    </w:p>
    <w:p w:rsidR="00F560FD" w:rsidRPr="00F560FD" w:rsidRDefault="00F560FD" w:rsidP="00F560FD">
      <w:pPr>
        <w:numPr>
          <w:ilvl w:val="1"/>
          <w:numId w:val="2"/>
        </w:numPr>
        <w:shd w:val="clear" w:color="auto" w:fill="FFFFFF"/>
        <w:tabs>
          <w:tab w:val="left" w:pos="567"/>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la copia della lettera di dimissioni per giusta causa con il riconoscimento espresso da parte del datore di lavoro della giusta causa che ha comportato le dimissioni del lavoratore;</w:t>
      </w:r>
    </w:p>
    <w:p w:rsidR="00F560FD" w:rsidRPr="00F560FD" w:rsidRDefault="00F560FD" w:rsidP="00F560FD">
      <w:pPr>
        <w:numPr>
          <w:ilvl w:val="1"/>
          <w:numId w:val="2"/>
        </w:numPr>
        <w:shd w:val="clear" w:color="auto" w:fill="FFFFFF"/>
        <w:tabs>
          <w:tab w:val="left" w:pos="567"/>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la copia della lettera di dimissioni unitamente all'atto introduttivo del giudizio per il riconoscimento della giusta causa.</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lastRenderedPageBreak/>
        <w:t>In caso di insorgenza di condizioni di non autosufficienza o handicap grave dell'intestatario o di uno dei cointestatari del contratto del mutuo:</w:t>
      </w:r>
      <w:r w:rsidRPr="00F560FD">
        <w:rPr>
          <w:rFonts w:ascii="Century Gothic" w:eastAsiaTheme="minorEastAsia" w:hAnsi="Century Gothic" w:cs="Arial"/>
          <w:bCs/>
          <w:lang w:eastAsia="it-IT"/>
        </w:rPr>
        <w:t xml:space="preserve"> </w:t>
      </w:r>
    </w:p>
    <w:p w:rsidR="00F560FD" w:rsidRPr="00F560FD" w:rsidRDefault="00F560FD" w:rsidP="00F560FD">
      <w:pPr>
        <w:numPr>
          <w:ilvl w:val="1"/>
          <w:numId w:val="2"/>
        </w:numPr>
        <w:shd w:val="clear" w:color="auto" w:fill="FFFFFF"/>
        <w:tabs>
          <w:tab w:val="left" w:pos="567"/>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Il certificato rilasciato dall'apposita commissione istituita presso l'ASL competente per il territorio di residenza del richiedente che qualifichi il mutuatario quale portatore di handicap grave (art. 3, comma 3, legge 104/1992) ovvero invalido civile (da 80% a 100%)</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t>In caso di sospensione dal lavoro per almeno 30 giorni lavorativi consecutivi (documenti in alternativa tra loro)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 provvedimento amministrativo di autorizzazione dei trattamenti di sostegno del reddito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della richiesta del datore di lavoro di ammissione al trattamento di sostegno al reddito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della dichiarazione del datore di lavoro, resa ai sensi del D.P.R. n. 445 del 2000, che attesti la sospensione dal lavoro per cause non riconducibili a responsabilità del lavoratore, con l’indicazione del numero di giorni lavorativi consecutivi di sospensione</w:t>
      </w:r>
    </w:p>
    <w:p w:rsidR="00F560FD" w:rsidRPr="00F560FD" w:rsidRDefault="00F560FD" w:rsidP="00F560FD">
      <w:pPr>
        <w:numPr>
          <w:ilvl w:val="0"/>
          <w:numId w:val="2"/>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i/>
          <w:iCs/>
          <w:lang w:eastAsia="it-IT"/>
        </w:rPr>
        <w:t>In caso di riduzione dell’orario di lavoro per un periodo di almeno 30 giorni lavorativi consecutivi, corrispondente ad una riduzione almeno pari al 20% dell’orario complessivo (documenti in alternativa tra loro)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 provvedimento amministrativo di autorizzazione dei trattamenti di sostegno del reddito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della richiesta del datore di lavoro di ammissione al trattamento di sostegno al reddito</w:t>
      </w:r>
    </w:p>
    <w:p w:rsidR="00F560FD" w:rsidRPr="00F560FD" w:rsidRDefault="00F560FD" w:rsidP="00F560FD">
      <w:pPr>
        <w:numPr>
          <w:ilvl w:val="1"/>
          <w:numId w:val="2"/>
        </w:numPr>
        <w:shd w:val="clear" w:color="auto" w:fill="FFFFFF"/>
        <w:tabs>
          <w:tab w:val="left" w:pos="567"/>
          <w:tab w:val="num" w:pos="720"/>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copia della dichiarazione del datore di lavoro, resa ai sensi del D.P.R. n. 445 del 2000, che attesti la riduzione dell’orario di lavoro per cause non riconducibili a responsabilità del lavoratore, con l’indicazione sia del numero di giorni lavorativi consecutivi di sospensione sia della percentuale di riduzione dell’orario di lavoro</w:t>
      </w:r>
    </w:p>
    <w:p w:rsidR="00F560FD" w:rsidRPr="00F560FD" w:rsidRDefault="00F560FD" w:rsidP="00F560FD">
      <w:pPr>
        <w:numPr>
          <w:ilvl w:val="0"/>
          <w:numId w:val="3"/>
        </w:numPr>
        <w:shd w:val="clear" w:color="auto" w:fill="FFFFFF"/>
        <w:tabs>
          <w:tab w:val="clear" w:pos="720"/>
          <w:tab w:val="left" w:pos="709"/>
          <w:tab w:val="left" w:pos="1134"/>
          <w:tab w:val="left" w:pos="1701"/>
          <w:tab w:val="left" w:pos="2268"/>
          <w:tab w:val="left" w:pos="2835"/>
        </w:tabs>
        <w:spacing w:after="0" w:line="360" w:lineRule="auto"/>
        <w:jc w:val="both"/>
        <w:rPr>
          <w:rFonts w:ascii="Century Gothic" w:eastAsiaTheme="minorEastAsia" w:hAnsi="Century Gothic" w:cs="Arial"/>
          <w:bCs/>
          <w:lang w:eastAsia="it-IT"/>
        </w:rPr>
      </w:pPr>
      <w:r w:rsidRPr="00F560FD">
        <w:rPr>
          <w:rFonts w:ascii="Century Gothic" w:eastAsiaTheme="minorEastAsia" w:hAnsi="Century Gothic" w:cs="Arial"/>
          <w:bCs/>
          <w:lang w:eastAsia="it-IT"/>
        </w:rPr>
        <w:t>Una volta effettuata la registrazione della domanda e acquisito il numero identificativo della nuova pratica, la banca dovrà inviare alla stessa Consap - entro i successivi 10 giorni lavorativi - tutta la documentazione obbligatoria in funzione dell'evento causa per il quale si richiede la sospensione</w:t>
      </w:r>
    </w:p>
    <w:p w:rsidR="00552BB9" w:rsidRPr="00F560FD" w:rsidRDefault="00552BB9"/>
    <w:sectPr w:rsidR="00552BB9" w:rsidRPr="00F560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9A" w:rsidRDefault="0041209A" w:rsidP="0041209A">
      <w:pPr>
        <w:spacing w:after="0" w:line="240" w:lineRule="auto"/>
      </w:pPr>
      <w:r>
        <w:separator/>
      </w:r>
    </w:p>
  </w:endnote>
  <w:endnote w:type="continuationSeparator" w:id="0">
    <w:p w:rsidR="0041209A" w:rsidRDefault="0041209A" w:rsidP="0041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02947"/>
      <w:docPartObj>
        <w:docPartGallery w:val="Page Numbers (Bottom of Page)"/>
        <w:docPartUnique/>
      </w:docPartObj>
    </w:sdtPr>
    <w:sdtEndPr/>
    <w:sdtContent>
      <w:p w:rsidR="0041209A" w:rsidRDefault="0041209A">
        <w:pPr>
          <w:pStyle w:val="Pidipagina"/>
          <w:jc w:val="right"/>
        </w:pPr>
        <w:r>
          <w:fldChar w:fldCharType="begin"/>
        </w:r>
        <w:r>
          <w:instrText>PAGE   \* MERGEFORMAT</w:instrText>
        </w:r>
        <w:r>
          <w:fldChar w:fldCharType="separate"/>
        </w:r>
        <w:r w:rsidR="00ED1DDE">
          <w:rPr>
            <w:noProof/>
          </w:rPr>
          <w:t>1</w:t>
        </w:r>
        <w:r>
          <w:fldChar w:fldCharType="end"/>
        </w:r>
      </w:p>
    </w:sdtContent>
  </w:sdt>
  <w:p w:rsidR="0041209A" w:rsidRDefault="004120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9A" w:rsidRDefault="0041209A" w:rsidP="0041209A">
      <w:pPr>
        <w:spacing w:after="0" w:line="240" w:lineRule="auto"/>
      </w:pPr>
      <w:r>
        <w:separator/>
      </w:r>
    </w:p>
  </w:footnote>
  <w:footnote w:type="continuationSeparator" w:id="0">
    <w:p w:rsidR="0041209A" w:rsidRDefault="0041209A" w:rsidP="00412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50DC"/>
    <w:multiLevelType w:val="multilevel"/>
    <w:tmpl w:val="7DC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A7CA7"/>
    <w:multiLevelType w:val="multilevel"/>
    <w:tmpl w:val="CBC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61801"/>
    <w:multiLevelType w:val="multilevel"/>
    <w:tmpl w:val="3B327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B9"/>
    <w:rsid w:val="0041209A"/>
    <w:rsid w:val="00552BB9"/>
    <w:rsid w:val="007F15B1"/>
    <w:rsid w:val="00CA5AEA"/>
    <w:rsid w:val="00ED1DDE"/>
    <w:rsid w:val="00F56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F867-AC2D-4412-8EBC-ECBAC11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20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209A"/>
  </w:style>
  <w:style w:type="paragraph" w:styleId="Pidipagina">
    <w:name w:val="footer"/>
    <w:basedOn w:val="Normale"/>
    <w:link w:val="PidipaginaCarattere"/>
    <w:uiPriority w:val="99"/>
    <w:unhideWhenUsed/>
    <w:rsid w:val="004120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09A"/>
  </w:style>
  <w:style w:type="paragraph" w:styleId="Testofumetto">
    <w:name w:val="Balloon Text"/>
    <w:basedOn w:val="Normale"/>
    <w:link w:val="TestofumettoCarattere"/>
    <w:uiPriority w:val="99"/>
    <w:semiHidden/>
    <w:unhideWhenUsed/>
    <w:rsid w:val="00ED1D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A5E22F18.dotm</Template>
  <TotalTime>0</TotalTime>
  <Pages>2</Pages>
  <Words>588</Words>
  <Characters>3353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Conforti</cp:lastModifiedBy>
  <cp:revision>2</cp:revision>
  <cp:lastPrinted>2020-05-04T10:29:00Z</cp:lastPrinted>
  <dcterms:created xsi:type="dcterms:W3CDTF">2020-05-04T10:30:00Z</dcterms:created>
  <dcterms:modified xsi:type="dcterms:W3CDTF">2020-05-04T10:30:00Z</dcterms:modified>
</cp:coreProperties>
</file>